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 (Web)"/>
        <w:spacing w:before="0" w:after="0" w:line="360" w:lineRule="auto"/>
        <w:jc w:val="center"/>
        <w:rPr>
          <w:color w:val="212121"/>
          <w:sz w:val="28"/>
          <w:szCs w:val="28"/>
          <w:u w:color="000080"/>
        </w:rPr>
      </w:pPr>
      <w:r>
        <w:rPr>
          <w:color w:val="212121"/>
          <w:sz w:val="28"/>
          <w:szCs w:val="28"/>
          <w:u w:color="000080"/>
        </w:rPr>
        <w:drawing>
          <wp:inline distT="0" distB="0" distL="0" distR="0">
            <wp:extent cx="5256487" cy="2263140"/>
            <wp:effectExtent l="0" t="0" r="0" b="0"/>
            <wp:docPr id="1073741825" name="officeArt object" descr="Melbourne_as_viewed_from_the_Shrine,_January_2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elbourne_as_viewed_from_the_Shrine,_January_2019" descr="Melbourne_as_viewed_from_the_Shrine,_January_2019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487" cy="2263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 (Web)"/>
        <w:spacing w:before="0" w:after="0" w:line="360" w:lineRule="auto"/>
        <w:jc w:val="center"/>
        <w:rPr>
          <w:color w:val="212121"/>
          <w:sz w:val="32"/>
          <w:szCs w:val="32"/>
          <w:u w:color="000080"/>
        </w:rPr>
      </w:pPr>
      <w:r>
        <w:rPr>
          <w:color w:val="212121"/>
          <w:sz w:val="32"/>
          <w:szCs w:val="32"/>
          <w:u w:color="000080"/>
          <w:rtl w:val="0"/>
          <w:lang w:val="en-US"/>
        </w:rPr>
        <w:t>Global Educational Leadership and Entrepreneurship Workshop</w:t>
      </w:r>
      <w:r>
        <w:rPr>
          <w:rFonts w:ascii="Arial Unicode MS" w:cs="Arial Unicode MS" w:hAnsi="Arial Unicode MS" w:eastAsia="Arial Unicode MS"/>
          <w:b w:val="0"/>
          <w:bCs w:val="0"/>
          <w:color w:val="212121"/>
          <w:sz w:val="32"/>
          <w:szCs w:val="32"/>
          <w:u w:color="000080"/>
        </w:rPr>
        <w:br w:type="textWrapping"/>
      </w:r>
      <w:r>
        <w:rPr>
          <w:color w:val="212121"/>
          <w:sz w:val="32"/>
          <w:szCs w:val="32"/>
          <w:u w:color="000080"/>
          <w:rtl w:val="0"/>
          <w:lang w:val="en-US"/>
        </w:rPr>
        <w:t>Centre for Global Business (CGB)</w:t>
      </w:r>
    </w:p>
    <w:p>
      <w:pPr>
        <w:pStyle w:val="Normal (Web)"/>
        <w:spacing w:before="0" w:after="0" w:line="360" w:lineRule="auto"/>
        <w:jc w:val="center"/>
        <w:rPr>
          <w:color w:val="212121"/>
          <w:sz w:val="32"/>
          <w:szCs w:val="32"/>
          <w:u w:color="000080"/>
        </w:rPr>
      </w:pPr>
      <w:r>
        <w:rPr>
          <w:color w:val="212121"/>
          <w:sz w:val="32"/>
          <w:szCs w:val="32"/>
          <w:u w:color="000080"/>
          <w:rtl w:val="0"/>
          <w:lang w:val="en-US"/>
        </w:rPr>
        <w:t>February 22-29, 2020</w:t>
      </w:r>
    </w:p>
    <w:p>
      <w:pPr>
        <w:pStyle w:val="Normal (Web)"/>
        <w:spacing w:before="0" w:after="0" w:line="360" w:lineRule="auto"/>
        <w:jc w:val="center"/>
        <w:rPr>
          <w:color w:val="212121"/>
          <w:sz w:val="28"/>
          <w:szCs w:val="28"/>
          <w:u w:color="000080"/>
        </w:rPr>
      </w:pPr>
      <w:r>
        <w:rPr>
          <w:color w:val="212121"/>
          <w:sz w:val="32"/>
          <w:szCs w:val="32"/>
          <w:u w:color="000080"/>
          <w:rtl w:val="0"/>
          <w:lang w:val="en-US"/>
        </w:rPr>
        <w:t>Mannix College, Monash University, Melbourne, Victoria, Australia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>One of the main objectives of China</w:t>
      </w:r>
      <w:r>
        <w:rPr>
          <w:sz w:val="28"/>
          <w:szCs w:val="28"/>
          <w:u w:color="000080"/>
          <w:rtl w:val="0"/>
          <w:lang w:val="en-US"/>
        </w:rPr>
        <w:t>’</w:t>
      </w:r>
      <w:r>
        <w:rPr>
          <w:sz w:val="28"/>
          <w:szCs w:val="28"/>
          <w:u w:color="000080"/>
          <w:rtl w:val="0"/>
          <w:lang w:val="en-US"/>
        </w:rPr>
        <w:t xml:space="preserve">s education reform is to build a world-class education system to meet the challenges of the fourth industrial resolution in an increasingly complex globalized political-economic environment. To realize this objective effectively and efficiently, a strategic goal is for education business leaders in China to learn and adapt from the established education business experiences in OECD countries.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 xml:space="preserve">To help reach this goal, </w:t>
      </w:r>
      <w:r>
        <w:rPr>
          <w:sz w:val="28"/>
          <w:szCs w:val="28"/>
          <w:u w:color="000080"/>
          <w:rtl w:val="0"/>
          <w:lang w:val="en-US"/>
        </w:rPr>
        <w:t>there is going to</w:t>
      </w:r>
      <w:r>
        <w:rPr>
          <w:sz w:val="28"/>
          <w:szCs w:val="28"/>
          <w:u w:color="000080"/>
          <w:rtl w:val="0"/>
          <w:lang w:val="en-US"/>
        </w:rPr>
        <w:t xml:space="preserve"> </w:t>
      </w:r>
      <w:r>
        <w:rPr>
          <w:sz w:val="28"/>
          <w:szCs w:val="28"/>
          <w:u w:color="000080"/>
          <w:rtl w:val="0"/>
          <w:lang w:val="en-US"/>
        </w:rPr>
        <w:t xml:space="preserve">be </w:t>
      </w:r>
      <w:r>
        <w:rPr>
          <w:sz w:val="28"/>
          <w:szCs w:val="28"/>
          <w:u w:color="000080"/>
          <w:rtl w:val="0"/>
          <w:lang w:val="en-US"/>
        </w:rPr>
        <w:t>a workshop on global educational leadership and entrepreneurship</w:t>
      </w:r>
      <w:r>
        <w:rPr>
          <w:sz w:val="28"/>
          <w:szCs w:val="28"/>
          <w:u w:color="000080"/>
          <w:rtl w:val="0"/>
          <w:lang w:val="en-US"/>
        </w:rPr>
        <w:t xml:space="preserve"> with the cooperation </w:t>
      </w:r>
      <w:r>
        <w:rPr>
          <w:color w:val="ff0000"/>
          <w:sz w:val="28"/>
          <w:szCs w:val="28"/>
          <w:u w:color="ff0000"/>
          <w:rtl w:val="0"/>
          <w:lang w:val="en-US"/>
        </w:rPr>
        <w:t xml:space="preserve"> </w:t>
      </w:r>
      <w:r>
        <w:rPr>
          <w:color w:val="212121"/>
          <w:sz w:val="28"/>
          <w:szCs w:val="28"/>
          <w:u w:color="ff0000"/>
          <w:rtl w:val="0"/>
          <w:lang w:val="en-US"/>
        </w:rPr>
        <w:t xml:space="preserve">between </w:t>
      </w:r>
      <w:r>
        <w:rPr>
          <w:color w:val="212121"/>
          <w:sz w:val="28"/>
          <w:szCs w:val="28"/>
          <w:u w:color="ff0000"/>
          <w:rtl w:val="0"/>
          <w:lang w:val="zh-CN" w:eastAsia="zh-CN"/>
        </w:rPr>
        <w:t xml:space="preserve">the </w:t>
      </w:r>
      <w:r>
        <w:rPr>
          <w:color w:val="212121"/>
          <w:sz w:val="28"/>
          <w:szCs w:val="28"/>
          <w:u w:color="ff0000"/>
          <w:rtl w:val="0"/>
          <w:lang w:val="en-US"/>
        </w:rPr>
        <w:t>Institute for Economics of Education</w:t>
      </w:r>
      <w:r>
        <w:rPr>
          <w:color w:val="212121"/>
          <w:sz w:val="28"/>
          <w:szCs w:val="28"/>
          <w:u w:color="ff0000"/>
          <w:rtl w:val="0"/>
          <w:lang w:val="en-US"/>
        </w:rPr>
        <w:t xml:space="preserve"> in </w:t>
      </w:r>
      <w:r>
        <w:rPr>
          <w:color w:val="212121"/>
          <w:sz w:val="28"/>
          <w:szCs w:val="28"/>
          <w:u w:color="ff0000"/>
          <w:rtl w:val="0"/>
          <w:lang w:val="en-US"/>
        </w:rPr>
        <w:t xml:space="preserve">Beijing Normal University </w:t>
      </w:r>
      <w:r>
        <w:rPr>
          <w:color w:val="212121"/>
          <w:sz w:val="28"/>
          <w:szCs w:val="28"/>
          <w:u w:color="ff0000"/>
          <w:rtl w:val="0"/>
          <w:lang w:val="en-US"/>
        </w:rPr>
        <w:t xml:space="preserve">and </w:t>
      </w:r>
      <w:r>
        <w:rPr>
          <w:sz w:val="28"/>
          <w:szCs w:val="28"/>
          <w:u w:color="000080"/>
          <w:rtl w:val="0"/>
          <w:lang w:val="en-US"/>
        </w:rPr>
        <w:t xml:space="preserve">the Centre for Global Business (CGB) in Monash Business School in Monash University in Melbourne, Australia.In accordance with the previous cooperation framework, the </w:t>
      </w:r>
      <w:r>
        <w:rPr>
          <w:sz w:val="28"/>
          <w:szCs w:val="28"/>
          <w:u w:color="000080"/>
          <w:rtl w:val="0"/>
          <w:lang w:val="en-US"/>
        </w:rPr>
        <w:t>two universities</w:t>
      </w:r>
      <w:r>
        <w:rPr>
          <w:sz w:val="28"/>
          <w:szCs w:val="28"/>
          <w:u w:color="000080"/>
          <w:rtl w:val="0"/>
          <w:lang w:val="en-US"/>
        </w:rPr>
        <w:t xml:space="preserve"> jointly designed and organized the theme and program of this workshop to promote the cooperation of academic and talent training.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>Australia is ranked to be among the top 10 countries in the world in education quality and business success and Monash University</w:t>
      </w:r>
      <w:r>
        <w:rPr>
          <w:sz w:val="28"/>
          <w:szCs w:val="28"/>
          <w:u w:color="000080"/>
          <w:rtl w:val="0"/>
          <w:lang w:val="en-US"/>
        </w:rPr>
        <w:t>’</w:t>
      </w:r>
      <w:r>
        <w:rPr>
          <w:sz w:val="28"/>
          <w:szCs w:val="28"/>
          <w:u w:color="000080"/>
          <w:rtl w:val="0"/>
          <w:lang w:val="en-US"/>
        </w:rPr>
        <w:t xml:space="preserve">s Faculty of Education is ranking #1 in Australia. In addition, Melbourne is ranked one most livable cities in the world for the past 10 years (ranked #1 from 2010-2017). CGB aims to provide future leaders in education business in China with cutting-edge knowledge and skills in building a successful education business in Australia as well as first-hand in-depth experiences of industry site visits and engagements with Australia education leaders. </w:t>
      </w:r>
    </w:p>
    <w:p>
      <w:pPr>
        <w:pStyle w:val="Normal (Web)"/>
        <w:spacing w:before="80" w:after="124"/>
        <w:rPr>
          <w:color w:val="212121"/>
          <w:sz w:val="28"/>
          <w:szCs w:val="28"/>
          <w:u w:color="000080"/>
        </w:rPr>
      </w:pPr>
      <w:r>
        <w:rPr>
          <w:color w:val="212121"/>
          <w:sz w:val="28"/>
          <w:szCs w:val="28"/>
          <w:u w:color="000080"/>
          <w:rtl w:val="0"/>
          <w:lang w:val="en-US"/>
        </w:rPr>
        <w:t>Objectives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u w:color="000080"/>
          <w:rtl w:val="0"/>
          <w:lang w:val="en-US"/>
        </w:rPr>
        <w:t>To understand, experience and analyze the key cultural differences between China and Australian educational leadership;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u w:color="000080"/>
          <w:rtl w:val="0"/>
          <w:lang w:val="en-US"/>
        </w:rPr>
        <w:t xml:space="preserve">To learn the cutting-edge knowledge of leadership and </w:t>
      </w:r>
      <w:bookmarkStart w:name="_Hlk26016043" w:id="0"/>
      <w:r>
        <w:rPr>
          <w:sz w:val="28"/>
          <w:szCs w:val="28"/>
          <w:u w:color="000080"/>
          <w:rtl w:val="0"/>
          <w:lang w:val="fr-FR"/>
        </w:rPr>
        <w:t>entrepreneurship</w:t>
      </w:r>
      <w:bookmarkEnd w:id="0"/>
      <w:r>
        <w:rPr>
          <w:sz w:val="28"/>
          <w:szCs w:val="28"/>
          <w:u w:color="000080"/>
          <w:rtl w:val="0"/>
          <w:lang w:val="en-US"/>
        </w:rPr>
        <w:t xml:space="preserve"> development in the educational context in Australia;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u w:color="000080"/>
          <w:rtl w:val="0"/>
          <w:lang w:val="en-US"/>
        </w:rPr>
        <w:t xml:space="preserve">To gain the first-hand experiences of engaging with the successful leaders of educational businesses in Australia via an in-depth site visits and reflection; and 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u w:color="000080"/>
          <w:rtl w:val="0"/>
          <w:lang w:val="en-US"/>
        </w:rPr>
        <w:t xml:space="preserve">To develop key competences and attributes for building successful education business in a global context.     </w:t>
      </w:r>
    </w:p>
    <w:p>
      <w:pPr>
        <w:pStyle w:val="Normal (Web)"/>
        <w:spacing w:before="80" w:after="0"/>
        <w:rPr>
          <w:color w:val="212121"/>
          <w:sz w:val="28"/>
          <w:szCs w:val="28"/>
          <w:u w:color="000080"/>
        </w:rPr>
      </w:pPr>
    </w:p>
    <w:p>
      <w:pPr>
        <w:pStyle w:val="Normal (Web)"/>
        <w:spacing w:before="80" w:after="0"/>
        <w:rPr>
          <w:color w:val="212121"/>
          <w:sz w:val="28"/>
          <w:szCs w:val="28"/>
          <w:u w:color="000080"/>
        </w:rPr>
      </w:pPr>
      <w:r>
        <w:rPr>
          <w:color w:val="212121"/>
          <w:sz w:val="28"/>
          <w:szCs w:val="28"/>
          <w:u w:color="000080"/>
          <w:rtl w:val="0"/>
          <w:lang w:val="en-US"/>
        </w:rPr>
        <w:t>Key topics to cover in the workshop</w:t>
      </w:r>
    </w:p>
    <w:p>
      <w:pPr>
        <w:pStyle w:val="Normal.0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>Day 1 - Understanding key cultural differences between Australia and China</w:t>
      </w:r>
    </w:p>
    <w:p>
      <w:pPr>
        <w:pStyle w:val="Normal.0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>Day 2 - Navigating complex international political and business environment</w:t>
      </w:r>
    </w:p>
    <w:p>
      <w:pPr>
        <w:pStyle w:val="Normal.0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 xml:space="preserve">Day 3 - Practical recommendations for starting-up an educational business in     Australia </w:t>
      </w:r>
    </w:p>
    <w:p>
      <w:pPr>
        <w:pStyle w:val="Normal.0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>Day 4 - Understanding key principles of educational leadership and entrepreneurship in Australia</w:t>
      </w:r>
    </w:p>
    <w:p>
      <w:pPr>
        <w:pStyle w:val="Normal.0"/>
        <w:rPr>
          <w:sz w:val="28"/>
          <w:szCs w:val="28"/>
          <w:u w:color="000080"/>
        </w:rPr>
      </w:pPr>
      <w:r>
        <w:rPr>
          <w:sz w:val="28"/>
          <w:szCs w:val="28"/>
          <w:u w:color="000080"/>
          <w:rtl w:val="0"/>
          <w:lang w:val="en-US"/>
        </w:rPr>
        <w:t xml:space="preserve">Day 5 Building effective leadership competences and attributes for successful educational business    </w:t>
      </w:r>
    </w:p>
    <w:p>
      <w:pPr>
        <w:pStyle w:val="Normal (Web)"/>
        <w:spacing w:before="0" w:after="0"/>
        <w:rPr>
          <w:color w:val="212121"/>
          <w:sz w:val="28"/>
          <w:szCs w:val="28"/>
          <w:u w:color="000080"/>
        </w:rPr>
      </w:pPr>
    </w:p>
    <w:p>
      <w:pPr>
        <w:pStyle w:val="Normal (Web)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Eligibility </w:t>
      </w:r>
    </w:p>
    <w:p>
      <w:pPr>
        <w:pStyle w:val="Normal.0"/>
        <w:numPr>
          <w:ilvl w:val="1"/>
          <w:numId w:val="4"/>
        </w:numPr>
        <w:bidi w:val="0"/>
        <w:ind w:right="0"/>
        <w:jc w:val="left"/>
        <w:rPr>
          <w:color w:val="212121"/>
          <w:sz w:val="28"/>
          <w:szCs w:val="28"/>
          <w:rtl w:val="0"/>
          <w:lang w:val="en-US"/>
        </w:rPr>
      </w:pPr>
      <w:r>
        <w:rPr>
          <w:color w:val="212121"/>
          <w:sz w:val="28"/>
          <w:szCs w:val="28"/>
          <w:u w:color="ff0000"/>
          <w:rtl w:val="0"/>
          <w:lang w:val="en-US"/>
        </w:rPr>
        <w:t xml:space="preserve">postgraduate students </w:t>
      </w:r>
    </w:p>
    <w:p>
      <w:pPr>
        <w:pStyle w:val="Normal.0"/>
        <w:numPr>
          <w:ilvl w:val="1"/>
          <w:numId w:val="4"/>
        </w:numPr>
        <w:bidi w:val="0"/>
        <w:ind w:right="0"/>
        <w:jc w:val="left"/>
        <w:rPr>
          <w:color w:val="212121"/>
          <w:sz w:val="28"/>
          <w:szCs w:val="28"/>
          <w:rtl w:val="0"/>
          <w:lang w:val="en-US"/>
        </w:rPr>
      </w:pPr>
      <w:r>
        <w:rPr>
          <w:color w:val="212121"/>
          <w:sz w:val="28"/>
          <w:szCs w:val="28"/>
          <w:u w:color="ff0000"/>
          <w:rtl w:val="0"/>
          <w:lang w:val="en-US"/>
        </w:rPr>
        <w:t>currently pursuing an academic or professional program at the university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sz w:val="28"/>
          <w:szCs w:val="28"/>
        </w:rPr>
      </w:pPr>
    </w:p>
    <w:p>
      <w:pPr>
        <w:pStyle w:val="Normal (Web)"/>
        <w:rPr>
          <w:b w:val="0"/>
          <w:bCs w:val="0"/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Certificate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On successful completion of the workshop, all the participants will be issued with a Monash Certificate of Participation.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before="220" w:after="200"/>
        <w:rPr>
          <w:sz w:val="28"/>
          <w:szCs w:val="28"/>
        </w:rPr>
      </w:pPr>
    </w:p>
    <w:p>
      <w:pPr>
        <w:pStyle w:val="Normal (Web)"/>
        <w:spacing w:before="120" w:after="120" w:line="336" w:lineRule="auto"/>
        <w:rPr>
          <w:b w:val="0"/>
          <w:bCs w:val="0"/>
          <w:sz w:val="28"/>
          <w:szCs w:val="28"/>
        </w:rPr>
      </w:pPr>
      <w:r>
        <w:rPr>
          <w:sz w:val="32"/>
          <w:szCs w:val="32"/>
          <w:rtl w:val="0"/>
          <w:lang w:val="en-US"/>
        </w:rPr>
        <w:t xml:space="preserve">Visa information </w:t>
      </w:r>
      <w:r>
        <w:rPr>
          <w:rFonts w:ascii="Arial Unicode MS" w:cs="Arial Unicode MS" w:hAnsi="Arial Unicode MS" w:eastAsia="Arial Unicode MS"/>
          <w:b w:val="0"/>
          <w:bCs w:val="0"/>
          <w:sz w:val="32"/>
          <w:szCs w:val="32"/>
        </w:rPr>
        <w:br w:type="textWrapping"/>
      </w:r>
      <w:r>
        <w:rPr>
          <w:b w:val="0"/>
          <w:bCs w:val="0"/>
          <w:sz w:val="28"/>
          <w:szCs w:val="28"/>
          <w:rtl w:val="0"/>
          <w:lang w:val="en-US"/>
        </w:rPr>
        <w:t xml:space="preserve">International participants should apply for an Australian visitor visa (note: not an international student visa). </w:t>
      </w:r>
    </w:p>
    <w:p>
      <w:pPr>
        <w:pStyle w:val="Normal (Web)"/>
        <w:spacing w:before="120" w:after="120" w:line="336" w:lineRule="auto"/>
        <w:rPr>
          <w:sz w:val="32"/>
          <w:szCs w:val="32"/>
        </w:rPr>
      </w:pPr>
    </w:p>
    <w:p>
      <w:pPr>
        <w:pStyle w:val="Normal (Web)"/>
        <w:rPr>
          <w:b w:val="0"/>
          <w:bCs w:val="0"/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How to apply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Please complete the online application form to apply for the </w:t>
      </w:r>
      <w:r>
        <w:rPr>
          <w:b w:val="1"/>
          <w:bCs w:val="1"/>
          <w:sz w:val="28"/>
          <w:szCs w:val="28"/>
          <w:rtl w:val="0"/>
          <w:lang w:val="en-US"/>
        </w:rPr>
        <w:t xml:space="preserve">2020 </w:t>
      </w:r>
      <w:r>
        <w:rPr>
          <w:b w:val="1"/>
          <w:bCs w:val="1"/>
          <w:sz w:val="28"/>
          <w:szCs w:val="28"/>
          <w:u w:color="000080"/>
          <w:rtl w:val="0"/>
          <w:lang w:val="en-US"/>
        </w:rPr>
        <w:t xml:space="preserve">Global Educational Leadership and Entrepreneurship Workshop </w:t>
      </w:r>
      <w:r>
        <w:rPr>
          <w:b w:val="1"/>
          <w:bCs w:val="1"/>
          <w:sz w:val="28"/>
          <w:szCs w:val="28"/>
          <w:rtl w:val="0"/>
          <w:lang w:val="en-US"/>
        </w:rPr>
        <w:t>Program</w:t>
      </w:r>
      <w:r>
        <w:rPr>
          <w:sz w:val="28"/>
          <w:szCs w:val="28"/>
          <w:rtl w:val="0"/>
          <w:lang w:val="en-US"/>
        </w:rPr>
        <w:t xml:space="preserve">: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  <w:lang w:val="en-US"/>
        </w:rPr>
        <w:t xml:space="preserve">https://www.wjx.top/jq/50511723.aspx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color w:val="ff0000"/>
          <w:sz w:val="28"/>
          <w:szCs w:val="28"/>
          <w:u w:color="ff0000"/>
        </w:rPr>
      </w:pPr>
      <w:r>
        <w:rPr>
          <w:color w:val="212121"/>
          <w:sz w:val="28"/>
          <w:szCs w:val="28"/>
          <w:u w:color="ff0000"/>
          <w:rtl w:val="0"/>
          <w:lang w:val="en-US"/>
        </w:rPr>
        <w:t>Should you have more questions, don</w:t>
      </w:r>
      <w:r>
        <w:rPr>
          <w:color w:val="212121"/>
          <w:sz w:val="28"/>
          <w:szCs w:val="28"/>
          <w:u w:color="ff0000"/>
          <w:rtl w:val="0"/>
          <w:lang w:val="en-US"/>
        </w:rPr>
        <w:t>’</w:t>
      </w:r>
      <w:r>
        <w:rPr>
          <w:color w:val="212121"/>
          <w:sz w:val="28"/>
          <w:szCs w:val="28"/>
          <w:u w:color="ff0000"/>
          <w:rtl w:val="0"/>
          <w:lang w:val="en-US"/>
        </w:rPr>
        <w:t>t hesitate to email</w:t>
      </w:r>
      <w:r>
        <w:rPr>
          <w:rFonts w:ascii="宋体" w:cs="宋体" w:hAnsi="宋体" w:eastAsia="宋体"/>
          <w:color w:val="212121"/>
          <w:sz w:val="28"/>
          <w:szCs w:val="28"/>
          <w:u w:color="ff0000"/>
          <w:rtl w:val="0"/>
          <w:lang w:val="zh-TW" w:eastAsia="zh-TW"/>
        </w:rPr>
        <w:t>：</w:t>
      </w:r>
      <w:r>
        <w:rPr>
          <w:color w:val="212121"/>
          <w:sz w:val="28"/>
          <w:szCs w:val="28"/>
          <w:u w:val="single" w:color="ff0000"/>
          <w:rtl w:val="0"/>
          <w:lang w:val="zh-TW" w:eastAsia="zh-TW"/>
        </w:rPr>
        <w:t>ciee@bnu</w:t>
      </w:r>
      <w:r>
        <w:rPr>
          <w:color w:val="212121"/>
          <w:sz w:val="28"/>
          <w:szCs w:val="28"/>
          <w:u w:val="single" w:color="ff0000"/>
          <w:rtl w:val="0"/>
          <w:lang w:val="en-US"/>
        </w:rPr>
        <w:t>.edu.cn</w:t>
      </w:r>
      <w:r>
        <w:rPr>
          <w:color w:val="212121"/>
          <w:sz w:val="28"/>
          <w:szCs w:val="28"/>
          <w:u w:color="ff0000"/>
          <w:rtl w:val="0"/>
          <w:lang w:val="en-US"/>
        </w:rPr>
        <w:t xml:space="preserve"> for more details.</w:t>
      </w:r>
      <w:r>
        <w:rPr>
          <w:color w:val="212121"/>
          <w:sz w:val="28"/>
          <w:szCs w:val="28"/>
          <w:rtl w:val="0"/>
          <w:lang w:val="en-US"/>
        </w:rPr>
        <w:t xml:space="preserve"> </w:t>
      </w:r>
    </w:p>
    <w:p>
      <w:pPr>
        <w:pStyle w:val="Normal (Web)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Important dates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&gt; Application deadline: </w:t>
      </w:r>
      <w:r>
        <w:rPr>
          <w:sz w:val="28"/>
          <w:szCs w:val="28"/>
          <w:rtl w:val="0"/>
          <w:lang w:val="en-US"/>
        </w:rPr>
        <w:t xml:space="preserve">Monday 23 December 2019 11:59pm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&gt; Outcome notification: </w:t>
      </w:r>
      <w:r>
        <w:rPr>
          <w:sz w:val="28"/>
          <w:szCs w:val="28"/>
          <w:rtl w:val="0"/>
          <w:lang w:val="en-US"/>
        </w:rPr>
        <w:t xml:space="preserve">Wednesday 25 December 2019 11:59pm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36" w:lineRule="auto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&gt; Course dates: </w:t>
      </w:r>
      <w:r>
        <w:rPr>
          <w:sz w:val="28"/>
          <w:szCs w:val="28"/>
          <w:rtl w:val="0"/>
          <w:lang w:val="en-US"/>
        </w:rPr>
        <w:t xml:space="preserve">Saturday 22 February 2020 to Saturday 29 February 2020 </w:t>
      </w:r>
    </w:p>
    <w:p>
      <w:pPr>
        <w:pStyle w:val="Normal (Web)"/>
        <w:rPr>
          <w:b w:val="0"/>
          <w:bCs w:val="0"/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Selection basis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before="80" w:line="336" w:lineRule="auto"/>
        <w:rPr>
          <w:color w:val="212121"/>
          <w:sz w:val="28"/>
          <w:szCs w:val="28"/>
          <w:u w:color="ff0000"/>
        </w:rPr>
      </w:pPr>
      <w:r>
        <w:rPr>
          <w:color w:val="212121"/>
          <w:sz w:val="28"/>
          <w:szCs w:val="28"/>
          <w:u w:color="ff0000"/>
          <w:rtl w:val="0"/>
          <w:lang w:val="en-US"/>
        </w:rPr>
        <w:t xml:space="preserve">Applicants will be assessed by Institute for Economics of Education </w:t>
      </w:r>
      <w:r>
        <w:rPr>
          <w:color w:val="212121"/>
          <w:sz w:val="28"/>
          <w:szCs w:val="28"/>
          <w:u w:color="ff0000"/>
          <w:rtl w:val="0"/>
          <w:lang w:val="zh-CN" w:eastAsia="zh-CN"/>
        </w:rPr>
        <w:t xml:space="preserve">at </w:t>
      </w:r>
      <w:r>
        <w:rPr>
          <w:color w:val="212121"/>
          <w:sz w:val="28"/>
          <w:szCs w:val="28"/>
          <w:u w:color="ff0000"/>
          <w:rtl w:val="0"/>
          <w:lang w:val="en-US"/>
        </w:rPr>
        <w:t>Beijing Normal University and an invitation from Monash University will be issued to those who meet the criteria.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before="0" w:line="336" w:lineRule="auto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Course capacity: 25</w:t>
      </w:r>
      <w:r>
        <w:rPr>
          <w:sz w:val="28"/>
          <w:szCs w:val="28"/>
          <w:rtl w:val="0"/>
          <w:lang w:val="fr-FR"/>
        </w:rPr>
        <w:t xml:space="preserve"> participants </w:t>
      </w:r>
    </w:p>
    <w:p>
      <w:pPr>
        <w:pStyle w:val="Normal (Web)"/>
        <w:rPr>
          <w:b w:val="0"/>
          <w:bCs w:val="0"/>
          <w:sz w:val="36"/>
          <w:szCs w:val="36"/>
        </w:rPr>
      </w:pPr>
      <w:r>
        <w:rPr>
          <w:sz w:val="32"/>
          <w:szCs w:val="32"/>
          <w:rtl w:val="0"/>
          <w:lang w:val="en-US"/>
        </w:rPr>
        <w:t xml:space="preserve">Contact us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M</w:t>
      </w:r>
      <w:r>
        <w:rPr>
          <w:rFonts w:ascii="宋体" w:cs="宋体" w:hAnsi="宋体" w:eastAsia="宋体"/>
          <w:sz w:val="28"/>
          <w:szCs w:val="28"/>
          <w:rtl w:val="0"/>
          <w:lang w:val="zh-TW" w:eastAsia="zh-TW"/>
        </w:rPr>
        <w:t>／</w:t>
      </w:r>
      <w:r>
        <w:rPr>
          <w:sz w:val="28"/>
          <w:szCs w:val="28"/>
          <w:rtl w:val="0"/>
          <w:lang w:val="en-US"/>
        </w:rPr>
        <w:t>wechat</w:t>
      </w:r>
      <w:r>
        <w:rPr>
          <w:rFonts w:ascii="宋体" w:cs="宋体" w:hAnsi="宋体" w:eastAsia="宋体"/>
          <w:sz w:val="28"/>
          <w:szCs w:val="28"/>
          <w:rtl w:val="0"/>
          <w:lang w:val="zh-TW" w:eastAsia="zh-TW"/>
        </w:rPr>
        <w:t>：</w:t>
      </w:r>
      <w:r>
        <w:rPr>
          <w:sz w:val="28"/>
          <w:szCs w:val="28"/>
          <w:rtl w:val="0"/>
          <w:lang w:val="en-US"/>
        </w:rPr>
        <w:t>13520129155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</w:pPr>
      <w:r>
        <w:rPr>
          <w:sz w:val="28"/>
          <w:szCs w:val="28"/>
          <w:rtl w:val="0"/>
          <w:lang w:val="en-US"/>
        </w:rPr>
        <w:t>E-mail</w:t>
      </w:r>
      <w:r>
        <w:rPr>
          <w:rFonts w:ascii="宋体" w:cs="宋体" w:hAnsi="宋体" w:eastAsia="宋体"/>
          <w:sz w:val="28"/>
          <w:szCs w:val="28"/>
          <w:rtl w:val="0"/>
          <w:lang w:val="zh-TW" w:eastAsia="zh-TW"/>
        </w:rPr>
        <w:t>：</w:t>
      </w:r>
      <w:r>
        <w:rPr>
          <w:sz w:val="28"/>
          <w:szCs w:val="28"/>
          <w:rtl w:val="0"/>
          <w:lang w:val="zh-TW" w:eastAsia="zh-TW"/>
        </w:rPr>
        <w:t>ciee@bnu</w:t>
      </w:r>
      <w:r>
        <w:rPr>
          <w:sz w:val="28"/>
          <w:szCs w:val="28"/>
          <w:rtl w:val="0"/>
          <w:lang w:val="en-US"/>
        </w:rPr>
        <w:t>.edu.cn</w:t>
      </w:r>
      <w:r>
        <w:rPr>
          <w:rFonts w:ascii="Arial Unicode MS" w:cs="Arial Unicode MS" w:hAnsi="Arial Unicode MS" w:eastAsia="Arial Unicode MS"/>
          <w:sz w:val="28"/>
          <w:szCs w:val="28"/>
          <w:lang w:val="en-US"/>
        </w:rPr>
        <w:br w:type="textWrapping"/>
      </w:r>
    </w:p>
    <w:sectPr>
      <w:headerReference w:type="default" r:id="rId5"/>
      <w:footerReference w:type="default" r:id="rId6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已导入的样式“1”"/>
  </w:abstractNum>
  <w:abstractNum w:abstractNumId="1">
    <w:multiLevelType w:val="hybridMultilevel"/>
    <w:styleLink w:val="已导入的样式“1”"/>
    <w:lvl w:ilvl="0">
      <w:start w:val="1"/>
      <w:numFmt w:val="lowerLetter"/>
      <w:suff w:val="tab"/>
      <w:lvlText w:val="%1)"/>
      <w:lvlJc w:val="left"/>
      <w:pPr>
        <w:ind w:left="7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197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617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037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2457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877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297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3717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4137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项目符号"/>
  </w:abstractNum>
  <w:abstractNum w:abstractNumId="3">
    <w:multiLevelType w:val="hybridMultilevel"/>
    <w:styleLink w:val="项目符号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229" w:hanging="22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139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211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283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355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427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499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571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6438" w:hanging="458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88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88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已导入的样式“1”">
    <w:name w:val="已导入的样式“1”"/>
    <w:pPr>
      <w:numPr>
        <w:numId w:val="1"/>
      </w:numPr>
    </w:pPr>
  </w:style>
  <w:style w:type="numbering" w:styleId="项目符号">
    <w:name w:val="项目符号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